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762D7E" w14:paraId="2325BEC7" w14:textId="77777777" w:rsidTr="00432DBE">
        <w:tc>
          <w:tcPr>
            <w:tcW w:w="9108" w:type="dxa"/>
          </w:tcPr>
          <w:p w14:paraId="084A3D7E" w14:textId="77777777" w:rsidR="00762D7E" w:rsidRDefault="00762D7E" w:rsidP="00195091">
            <w:pPr>
              <w:pStyle w:val="NoSpacing"/>
            </w:pPr>
            <w:r w:rsidRPr="00762D7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B3A248" wp14:editId="4E6588B6">
                  <wp:simplePos x="0" y="0"/>
                  <wp:positionH relativeFrom="margin">
                    <wp:align>left</wp:align>
                  </wp:positionH>
                  <wp:positionV relativeFrom="paragraph">
                    <wp:posOffset>-681272</wp:posOffset>
                  </wp:positionV>
                  <wp:extent cx="6055747" cy="644055"/>
                  <wp:effectExtent l="19050" t="0" r="0" b="0"/>
                  <wp:wrapSquare wrapText="bothSides"/>
                  <wp:docPr id="1" name="Picture 2" descr="CPO_MB_heade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O_MB_header.t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7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1BC251" w14:textId="202359AB" w:rsidR="00976F1B" w:rsidRPr="00976F1B" w:rsidRDefault="00976F1B" w:rsidP="00976F1B">
      <w:pPr>
        <w:spacing w:after="0" w:line="240" w:lineRule="auto"/>
        <w:rPr>
          <w:rFonts w:asciiTheme="minorHAnsi" w:hAnsiTheme="minorHAnsi" w:cstheme="minorHAnsi"/>
          <w:sz w:val="72"/>
          <w:szCs w:val="72"/>
        </w:rPr>
      </w:pPr>
      <w:r w:rsidRPr="00976F1B">
        <w:rPr>
          <w:rFonts w:asciiTheme="minorHAnsi" w:hAnsiTheme="minorHAnsi" w:cstheme="minorHAnsi"/>
          <w:sz w:val="72"/>
          <w:szCs w:val="72"/>
        </w:rPr>
        <w:t>PRESS RELEASE</w:t>
      </w:r>
    </w:p>
    <w:p w14:paraId="294FF611" w14:textId="77777777" w:rsidR="00475090" w:rsidRDefault="00475090" w:rsidP="00F61DB3">
      <w:pPr>
        <w:spacing w:after="0" w:line="240" w:lineRule="auto"/>
        <w:ind w:left="1080"/>
        <w:rPr>
          <w:rFonts w:asciiTheme="minorHAnsi" w:hAnsiTheme="minorHAnsi" w:cstheme="minorHAnsi"/>
          <w:sz w:val="22"/>
        </w:rPr>
      </w:pPr>
    </w:p>
    <w:p w14:paraId="37418C64" w14:textId="728235E5" w:rsidR="00475090" w:rsidRPr="00976F1B" w:rsidRDefault="00976F1B" w:rsidP="00976F1B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976F1B">
        <w:rPr>
          <w:rFonts w:asciiTheme="minorHAnsi" w:hAnsiTheme="minorHAnsi" w:cstheme="minorHAnsi"/>
          <w:sz w:val="36"/>
          <w:szCs w:val="36"/>
        </w:rPr>
        <w:t>FOR IMMEDIATE RELEASE</w:t>
      </w:r>
    </w:p>
    <w:p w14:paraId="12B260D8" w14:textId="570890BF" w:rsidR="00976F1B" w:rsidRDefault="00976F1B" w:rsidP="00976F1B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r w:rsidRPr="00976F1B">
        <w:rPr>
          <w:rFonts w:asciiTheme="minorHAnsi" w:hAnsiTheme="minorHAnsi" w:cstheme="minorHAnsi"/>
          <w:sz w:val="36"/>
          <w:szCs w:val="36"/>
        </w:rPr>
        <w:t>November 1, 2024</w:t>
      </w:r>
    </w:p>
    <w:p w14:paraId="57917C1F" w14:textId="77777777" w:rsidR="00976F1B" w:rsidRDefault="00976F1B" w:rsidP="00976F1B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</w:p>
    <w:p w14:paraId="398A5968" w14:textId="4804929D" w:rsidR="00976F1B" w:rsidRDefault="00976F1B" w:rsidP="00976F1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976F1B">
        <w:rPr>
          <w:rFonts w:asciiTheme="minorHAnsi" w:hAnsiTheme="minorHAnsi" w:cstheme="minorHAnsi"/>
          <w:sz w:val="28"/>
          <w:szCs w:val="28"/>
        </w:rPr>
        <w:t>Chief Procurement Officer releases FY 2024 Small Business Annual Report</w:t>
      </w:r>
    </w:p>
    <w:p w14:paraId="72A9444E" w14:textId="77777777" w:rsidR="00976F1B" w:rsidRDefault="00976F1B" w:rsidP="00976F1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5926AFDC" w14:textId="7AFF9E88" w:rsidR="001D6182" w:rsidRDefault="00976F1B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6F1B">
        <w:rPr>
          <w:rFonts w:asciiTheme="minorHAnsi" w:hAnsiTheme="minorHAnsi" w:cstheme="minorHAnsi"/>
          <w:szCs w:val="24"/>
        </w:rPr>
        <w:t>The Chief Procurement Officer</w:t>
      </w:r>
      <w:r w:rsidR="00566892">
        <w:rPr>
          <w:rFonts w:asciiTheme="minorHAnsi" w:hAnsiTheme="minorHAnsi" w:cstheme="minorHAnsi"/>
          <w:szCs w:val="24"/>
        </w:rPr>
        <w:t xml:space="preserve"> (CPO)</w:t>
      </w:r>
      <w:r w:rsidRPr="00976F1B">
        <w:rPr>
          <w:rFonts w:asciiTheme="minorHAnsi" w:hAnsiTheme="minorHAnsi" w:cstheme="minorHAnsi"/>
          <w:szCs w:val="24"/>
        </w:rPr>
        <w:t xml:space="preserve"> of Construction for the Illinois Department of Transportation</w:t>
      </w:r>
      <w:r w:rsidR="008E0B22">
        <w:rPr>
          <w:rFonts w:asciiTheme="minorHAnsi" w:hAnsiTheme="minorHAnsi" w:cstheme="minorHAnsi"/>
          <w:szCs w:val="24"/>
        </w:rPr>
        <w:t>,</w:t>
      </w:r>
      <w:r w:rsidR="00566892">
        <w:rPr>
          <w:rFonts w:asciiTheme="minorHAnsi" w:hAnsiTheme="minorHAnsi" w:cstheme="minorHAnsi"/>
          <w:szCs w:val="24"/>
        </w:rPr>
        <w:t xml:space="preserve"> today</w:t>
      </w:r>
      <w:r w:rsidR="008E0B22">
        <w:rPr>
          <w:rFonts w:asciiTheme="minorHAnsi" w:hAnsiTheme="minorHAnsi" w:cstheme="minorHAnsi"/>
          <w:szCs w:val="24"/>
        </w:rPr>
        <w:t>,</w:t>
      </w:r>
      <w:r w:rsidRPr="00976F1B">
        <w:rPr>
          <w:rFonts w:asciiTheme="minorHAnsi" w:hAnsiTheme="minorHAnsi" w:cstheme="minorHAnsi"/>
          <w:szCs w:val="24"/>
        </w:rPr>
        <w:t xml:space="preserve"> released the FY 2024 Annual Small Business Report for </w:t>
      </w:r>
      <w:r w:rsidR="00566892">
        <w:rPr>
          <w:rFonts w:asciiTheme="minorHAnsi" w:hAnsiTheme="minorHAnsi" w:cstheme="minorHAnsi"/>
          <w:szCs w:val="24"/>
        </w:rPr>
        <w:t xml:space="preserve">IDOTs </w:t>
      </w:r>
      <w:r w:rsidRPr="00976F1B">
        <w:rPr>
          <w:rFonts w:asciiTheme="minorHAnsi" w:hAnsiTheme="minorHAnsi" w:cstheme="minorHAnsi"/>
          <w:szCs w:val="24"/>
        </w:rPr>
        <w:t xml:space="preserve">Small Business </w:t>
      </w:r>
      <w:r w:rsidR="00566892">
        <w:rPr>
          <w:rFonts w:asciiTheme="minorHAnsi" w:hAnsiTheme="minorHAnsi" w:cstheme="minorHAnsi"/>
          <w:szCs w:val="24"/>
        </w:rPr>
        <w:t>Initiative</w:t>
      </w:r>
      <w:r w:rsidRPr="00976F1B">
        <w:rPr>
          <w:rFonts w:asciiTheme="minorHAnsi" w:hAnsiTheme="minorHAnsi" w:cstheme="minorHAnsi"/>
          <w:szCs w:val="24"/>
        </w:rPr>
        <w:t xml:space="preserve"> program.  </w:t>
      </w:r>
      <w:r>
        <w:rPr>
          <w:rFonts w:asciiTheme="minorHAnsi" w:hAnsiTheme="minorHAnsi" w:cstheme="minorHAnsi"/>
          <w:szCs w:val="24"/>
        </w:rPr>
        <w:t xml:space="preserve">In accordance with </w:t>
      </w:r>
      <w:r w:rsidR="001D6182">
        <w:rPr>
          <w:rFonts w:asciiTheme="minorHAnsi" w:hAnsiTheme="minorHAnsi" w:cstheme="minorHAnsi"/>
          <w:szCs w:val="24"/>
        </w:rPr>
        <w:t>30 ILCS 500/45-90(f)</w:t>
      </w:r>
      <w:r w:rsidR="00566892">
        <w:rPr>
          <w:rFonts w:asciiTheme="minorHAnsi" w:hAnsiTheme="minorHAnsi" w:cstheme="minorHAnsi"/>
          <w:szCs w:val="24"/>
        </w:rPr>
        <w:t xml:space="preserve"> of the Illinois Procurement Code, the CPO, working with the department annually report statics and achievements in the use of small busines</w:t>
      </w:r>
      <w:r w:rsidR="009D42FC">
        <w:rPr>
          <w:rFonts w:asciiTheme="minorHAnsi" w:hAnsiTheme="minorHAnsi" w:cstheme="minorHAnsi"/>
          <w:szCs w:val="24"/>
        </w:rPr>
        <w:t xml:space="preserve">ses </w:t>
      </w:r>
      <w:r w:rsidR="001D6182">
        <w:rPr>
          <w:rFonts w:asciiTheme="minorHAnsi" w:hAnsiTheme="minorHAnsi" w:cstheme="minorHAnsi"/>
          <w:szCs w:val="24"/>
        </w:rPr>
        <w:t>on construction of highway and bridge projects.</w:t>
      </w:r>
    </w:p>
    <w:p w14:paraId="6B107459" w14:textId="77777777" w:rsidR="001D6182" w:rsidRDefault="001D6182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C9A1953" w14:textId="61AAEFEE" w:rsidR="00A86444" w:rsidRDefault="001D6182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Small Businesses are the backbone of the Illinois economy and </w:t>
      </w:r>
      <w:r w:rsidR="00A86444">
        <w:rPr>
          <w:rFonts w:asciiTheme="minorHAnsi" w:hAnsiTheme="minorHAnsi" w:cstheme="minorHAnsi"/>
          <w:szCs w:val="24"/>
        </w:rPr>
        <w:t>its</w:t>
      </w:r>
      <w:r>
        <w:rPr>
          <w:rFonts w:asciiTheme="minorHAnsi" w:hAnsiTheme="minorHAnsi" w:cstheme="minorHAnsi"/>
          <w:szCs w:val="24"/>
        </w:rPr>
        <w:t xml:space="preserve"> incumbent</w:t>
      </w:r>
      <w:r w:rsidR="00A86444">
        <w:rPr>
          <w:rFonts w:asciiTheme="minorHAnsi" w:hAnsiTheme="minorHAnsi" w:cstheme="minorHAnsi"/>
          <w:szCs w:val="24"/>
        </w:rPr>
        <w:t xml:space="preserve"> on all State agencies to maximize participation with these vital businesses in procuring construction</w:t>
      </w:r>
      <w:r w:rsidR="004B3B57">
        <w:rPr>
          <w:rFonts w:asciiTheme="minorHAnsi" w:hAnsiTheme="minorHAnsi" w:cstheme="minorHAnsi"/>
          <w:szCs w:val="24"/>
        </w:rPr>
        <w:t xml:space="preserve">, </w:t>
      </w:r>
      <w:r w:rsidR="00C23CBC">
        <w:rPr>
          <w:rFonts w:asciiTheme="minorHAnsi" w:hAnsiTheme="minorHAnsi" w:cstheme="minorHAnsi"/>
          <w:szCs w:val="24"/>
        </w:rPr>
        <w:t>supplies,</w:t>
      </w:r>
      <w:r w:rsidR="004B3B57">
        <w:rPr>
          <w:rFonts w:asciiTheme="minorHAnsi" w:hAnsiTheme="minorHAnsi" w:cstheme="minorHAnsi"/>
          <w:szCs w:val="24"/>
        </w:rPr>
        <w:t xml:space="preserve"> and other</w:t>
      </w:r>
      <w:r w:rsidR="00A86444">
        <w:rPr>
          <w:rFonts w:asciiTheme="minorHAnsi" w:hAnsiTheme="minorHAnsi" w:cstheme="minorHAnsi"/>
          <w:szCs w:val="24"/>
        </w:rPr>
        <w:t xml:space="preserve"> services. </w:t>
      </w:r>
    </w:p>
    <w:p w14:paraId="77E402FA" w14:textId="77777777" w:rsidR="00A86444" w:rsidRDefault="00A86444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0625698" w14:textId="221AD79D" w:rsidR="001D6182" w:rsidRDefault="00A86444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IDOTs Small Business Initiative Program identifies projects that are appropriate for </w:t>
      </w:r>
      <w:r w:rsidR="004B3B57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set-aside program</w:t>
      </w:r>
      <w:r w:rsidR="00627BEA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considering size and types of work to assure </w:t>
      </w:r>
      <w:r w:rsidR="004B3B57">
        <w:rPr>
          <w:rFonts w:asciiTheme="minorHAnsi" w:hAnsiTheme="minorHAnsi" w:cstheme="minorHAnsi"/>
          <w:szCs w:val="24"/>
        </w:rPr>
        <w:t>a successful outcome for small businesses. Those projects are the</w:t>
      </w:r>
      <w:r w:rsidR="00627BEA">
        <w:rPr>
          <w:rFonts w:asciiTheme="minorHAnsi" w:hAnsiTheme="minorHAnsi" w:cstheme="minorHAnsi"/>
          <w:szCs w:val="24"/>
        </w:rPr>
        <w:t>n</w:t>
      </w:r>
      <w:r w:rsidR="004B3B57">
        <w:rPr>
          <w:rFonts w:asciiTheme="minorHAnsi" w:hAnsiTheme="minorHAnsi" w:cstheme="minorHAnsi"/>
          <w:szCs w:val="24"/>
        </w:rPr>
        <w:t xml:space="preserve"> advertised for bi</w:t>
      </w:r>
      <w:r w:rsidR="00627BEA">
        <w:rPr>
          <w:rFonts w:asciiTheme="minorHAnsi" w:hAnsiTheme="minorHAnsi" w:cstheme="minorHAnsi"/>
          <w:szCs w:val="24"/>
        </w:rPr>
        <w:t>ds</w:t>
      </w:r>
      <w:r w:rsidR="004B3B57">
        <w:rPr>
          <w:rFonts w:asciiTheme="minorHAnsi" w:hAnsiTheme="minorHAnsi" w:cstheme="minorHAnsi"/>
          <w:szCs w:val="24"/>
        </w:rPr>
        <w:t xml:space="preserve"> with several opportunities each year on the regular IDOT lettings.  </w:t>
      </w:r>
    </w:p>
    <w:p w14:paraId="105DE25A" w14:textId="77777777" w:rsidR="001D6182" w:rsidRDefault="001D6182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7CC142AD" w14:textId="434B5845" w:rsidR="001D6182" w:rsidRDefault="001D6182" w:rsidP="001D6182">
      <w:pPr>
        <w:spacing w:after="0" w:line="240" w:lineRule="auto"/>
        <w:jc w:val="both"/>
        <w:rPr>
          <w:rFonts w:asciiTheme="minorHAnsi" w:eastAsiaTheme="minorEastAsia" w:hAnsiTheme="minorHAnsi" w:cstheme="minorHAnsi"/>
          <w:szCs w:val="24"/>
        </w:rPr>
      </w:pPr>
      <w:r w:rsidRPr="004B3B57">
        <w:rPr>
          <w:rFonts w:asciiTheme="minorHAnsi" w:eastAsiaTheme="minorEastAsia" w:hAnsiTheme="minorHAnsi" w:cstheme="minorHAnsi"/>
          <w:b/>
          <w:bCs/>
          <w:szCs w:val="24"/>
        </w:rPr>
        <w:t>Small Business Annual Report</w:t>
      </w:r>
      <w:r w:rsidRPr="001D6182">
        <w:rPr>
          <w:rFonts w:asciiTheme="minorHAnsi" w:eastAsiaTheme="minorEastAsia" w:hAnsiTheme="minorHAnsi" w:cstheme="minorHAnsi"/>
          <w:szCs w:val="24"/>
        </w:rPr>
        <w:t>- Each small business specialist designated under subsection (E) shall annually before November 1</w:t>
      </w:r>
      <w:r w:rsidRPr="001D6182">
        <w:rPr>
          <w:rFonts w:asciiTheme="minorHAnsi" w:eastAsiaTheme="minorEastAsia" w:hAnsiTheme="minorHAnsi" w:cstheme="minorHAnsi"/>
          <w:szCs w:val="24"/>
          <w:vertAlign w:val="superscript"/>
        </w:rPr>
        <w:t>st</w:t>
      </w:r>
      <w:r w:rsidRPr="001D6182">
        <w:rPr>
          <w:rFonts w:asciiTheme="minorHAnsi" w:eastAsiaTheme="minorEastAsia" w:hAnsiTheme="minorHAnsi" w:cstheme="minorHAnsi"/>
          <w:szCs w:val="24"/>
        </w:rPr>
        <w:t xml:space="preserve"> report in writing to the General Assembly concerning the awarding of contracts to small businesses. The report shall include the total value of awards made </w:t>
      </w:r>
      <w:r w:rsidRPr="004B3B57">
        <w:rPr>
          <w:rFonts w:asciiTheme="minorHAnsi" w:eastAsiaTheme="minorEastAsia" w:hAnsiTheme="minorHAnsi" w:cstheme="minorHAnsi"/>
          <w:szCs w:val="24"/>
        </w:rPr>
        <w:t xml:space="preserve">to Disadvantaged Business Enterprises (DBE) </w:t>
      </w:r>
      <w:r w:rsidRPr="001D6182">
        <w:rPr>
          <w:rFonts w:asciiTheme="minorHAnsi" w:eastAsiaTheme="minorEastAsia" w:hAnsiTheme="minorHAnsi" w:cstheme="minorHAnsi"/>
          <w:szCs w:val="24"/>
        </w:rPr>
        <w:t>in the preceding fiscal year under the designation of small business set-aside. The report shall also include the total value of awards made, in the preceding fiscal year, under the designation of small business set-aside. The Illinois Department of Transportation’s set-aside program is referred to as the Small Business Initiative.</w:t>
      </w:r>
    </w:p>
    <w:p w14:paraId="167E128A" w14:textId="77777777" w:rsidR="004B3B57" w:rsidRDefault="004B3B57" w:rsidP="001D6182">
      <w:pPr>
        <w:spacing w:after="0" w:line="240" w:lineRule="auto"/>
        <w:jc w:val="both"/>
        <w:rPr>
          <w:rFonts w:asciiTheme="minorHAnsi" w:eastAsiaTheme="minorEastAsia" w:hAnsiTheme="minorHAnsi" w:cstheme="minorHAnsi"/>
          <w:szCs w:val="24"/>
        </w:rPr>
      </w:pPr>
    </w:p>
    <w:p w14:paraId="7D60F525" w14:textId="749D7734" w:rsidR="004B3B57" w:rsidRPr="00BC4D65" w:rsidRDefault="004B3B57" w:rsidP="004B3B57">
      <w:pPr>
        <w:spacing w:after="0" w:line="240" w:lineRule="auto"/>
        <w:jc w:val="both"/>
        <w:rPr>
          <w:rFonts w:ascii="Calibri" w:eastAsiaTheme="minorEastAsia" w:hAnsi="Calibri"/>
          <w:b/>
          <w:bCs/>
          <w:sz w:val="22"/>
        </w:rPr>
      </w:pPr>
      <w:r w:rsidRPr="00BC4D65">
        <w:rPr>
          <w:rFonts w:ascii="Calibri" w:eastAsiaTheme="minorEastAsia" w:hAnsi="Calibri"/>
          <w:sz w:val="22"/>
        </w:rPr>
        <w:t>The fiscal year 2024 report required in 30 ILCS 500/45-90 of the Illinois Procurement Code can be found on the Chief Procurement Officers Website at cpo-dot.illinois.gov-Publications and Suspensions-Reports</w:t>
      </w:r>
      <w:r w:rsidRPr="00BC4D65">
        <w:rPr>
          <w:rFonts w:ascii="Calibri" w:eastAsiaTheme="minorEastAsia" w:hAnsi="Calibri"/>
          <w:b/>
          <w:bCs/>
          <w:sz w:val="22"/>
        </w:rPr>
        <w:t xml:space="preserve">.  </w:t>
      </w:r>
      <w:hyperlink r:id="rId11" w:history="1">
        <w:r w:rsidR="00B85085" w:rsidRPr="00B85085">
          <w:rPr>
            <w:rStyle w:val="Hyperlink"/>
            <w:rFonts w:ascii="Calibri" w:eastAsiaTheme="minorEastAsia" w:hAnsi="Calibri"/>
            <w:b/>
            <w:bCs/>
            <w:sz w:val="22"/>
          </w:rPr>
          <w:t xml:space="preserve">2024 Small Business </w:t>
        </w:r>
        <w:r w:rsidR="00137E08">
          <w:rPr>
            <w:rStyle w:val="Hyperlink"/>
            <w:rFonts w:ascii="Calibri" w:eastAsiaTheme="minorEastAsia" w:hAnsi="Calibri"/>
            <w:b/>
            <w:bCs/>
            <w:sz w:val="22"/>
          </w:rPr>
          <w:t>Annual</w:t>
        </w:r>
        <w:r w:rsidR="00B85085" w:rsidRPr="00B85085">
          <w:rPr>
            <w:rStyle w:val="Hyperlink"/>
            <w:rFonts w:ascii="Calibri" w:eastAsiaTheme="minorEastAsia" w:hAnsi="Calibri"/>
            <w:b/>
            <w:bCs/>
            <w:sz w:val="22"/>
          </w:rPr>
          <w:t xml:space="preserve"> Report</w:t>
        </w:r>
      </w:hyperlink>
    </w:p>
    <w:p w14:paraId="0BA97CFD" w14:textId="77777777" w:rsidR="004B3B57" w:rsidRPr="00BC4D65" w:rsidRDefault="004B3B57" w:rsidP="004B3B57">
      <w:pPr>
        <w:spacing w:after="0" w:line="240" w:lineRule="auto"/>
        <w:rPr>
          <w:rFonts w:ascii="Calibri" w:eastAsiaTheme="minorEastAsia" w:hAnsi="Calibri"/>
          <w:b/>
          <w:bCs/>
          <w:sz w:val="22"/>
        </w:rPr>
      </w:pPr>
    </w:p>
    <w:p w14:paraId="171E3842" w14:textId="77777777" w:rsidR="004B3B57" w:rsidRPr="001D6182" w:rsidRDefault="004B3B57" w:rsidP="001D6182">
      <w:pPr>
        <w:spacing w:after="0" w:line="240" w:lineRule="auto"/>
        <w:jc w:val="both"/>
        <w:rPr>
          <w:rFonts w:asciiTheme="minorHAnsi" w:eastAsiaTheme="minorEastAsia" w:hAnsiTheme="minorHAnsi" w:cstheme="minorHAnsi"/>
          <w:szCs w:val="24"/>
        </w:rPr>
      </w:pPr>
    </w:p>
    <w:p w14:paraId="54203CCD" w14:textId="1D27D897" w:rsidR="00976F1B" w:rsidRPr="00976F1B" w:rsidRDefault="00976F1B" w:rsidP="00976F1B">
      <w:pPr>
        <w:spacing w:after="0" w:line="240" w:lineRule="auto"/>
        <w:rPr>
          <w:rFonts w:asciiTheme="minorHAnsi" w:hAnsiTheme="minorHAnsi" w:cstheme="minorHAnsi"/>
          <w:szCs w:val="24"/>
        </w:rPr>
      </w:pPr>
    </w:p>
    <w:sectPr w:rsidR="00976F1B" w:rsidRPr="00976F1B" w:rsidSect="00F90E11">
      <w:footerReference w:type="default" r:id="rId12"/>
      <w:pgSz w:w="12240" w:h="15840" w:code="1"/>
      <w:pgMar w:top="720" w:right="1800" w:bottom="720" w:left="1267" w:header="432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ED1B" w14:textId="77777777" w:rsidR="003B33BB" w:rsidRDefault="003B33BB" w:rsidP="000233F1">
      <w:pPr>
        <w:spacing w:after="0" w:line="240" w:lineRule="auto"/>
      </w:pPr>
      <w:r>
        <w:separator/>
      </w:r>
    </w:p>
  </w:endnote>
  <w:endnote w:type="continuationSeparator" w:id="0">
    <w:p w14:paraId="6293EFA4" w14:textId="77777777" w:rsidR="003B33BB" w:rsidRDefault="003B33BB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7A2B" w14:textId="77777777" w:rsidR="00594467" w:rsidRDefault="00137E08" w:rsidP="00195091">
    <w:pPr>
      <w:pStyle w:val="Footer"/>
      <w:tabs>
        <w:tab w:val="clear" w:pos="4680"/>
        <w:tab w:val="clear" w:pos="9360"/>
        <w:tab w:val="left" w:pos="2775"/>
      </w:tabs>
    </w:pPr>
    <w:r>
      <w:pict w14:anchorId="2FE6A515">
        <v:rect id="_x0000_i1025" style="width:459pt;height:1pt" o:hralign="center" o:hrstd="t" o:hrnoshade="t" o:hr="t" fillcolor="black [3213]" stroked="f"/>
      </w:pict>
    </w:r>
  </w:p>
  <w:p w14:paraId="58F3BD4E" w14:textId="77777777" w:rsidR="00594467" w:rsidRDefault="008121C9" w:rsidP="00F61DB3">
    <w:pPr>
      <w:pStyle w:val="Footer"/>
      <w:tabs>
        <w:tab w:val="clear" w:pos="4680"/>
        <w:tab w:val="clear" w:pos="9360"/>
        <w:tab w:val="left" w:pos="2775"/>
      </w:tabs>
      <w:jc w:val="center"/>
    </w:pPr>
    <w:r>
      <w:rPr>
        <w:noProof/>
      </w:rPr>
      <w:drawing>
        <wp:inline distT="0" distB="0" distL="0" distR="0" wp14:anchorId="3E57E1DB" wp14:editId="4C80767C">
          <wp:extent cx="4465320" cy="3124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532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3D39" w14:textId="77777777" w:rsidR="003B33BB" w:rsidRDefault="003B33BB" w:rsidP="000233F1">
      <w:pPr>
        <w:spacing w:after="0" w:line="240" w:lineRule="auto"/>
      </w:pPr>
      <w:r>
        <w:separator/>
      </w:r>
    </w:p>
  </w:footnote>
  <w:footnote w:type="continuationSeparator" w:id="0">
    <w:p w14:paraId="56F266F4" w14:textId="77777777" w:rsidR="003B33BB" w:rsidRDefault="003B33BB" w:rsidP="00023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233F1"/>
    <w:rsid w:val="0003764C"/>
    <w:rsid w:val="000467AD"/>
    <w:rsid w:val="00082F78"/>
    <w:rsid w:val="000E6754"/>
    <w:rsid w:val="001221B8"/>
    <w:rsid w:val="00137E08"/>
    <w:rsid w:val="001705B6"/>
    <w:rsid w:val="00195091"/>
    <w:rsid w:val="001A40F0"/>
    <w:rsid w:val="001A4BE8"/>
    <w:rsid w:val="001A4C33"/>
    <w:rsid w:val="001D6182"/>
    <w:rsid w:val="001F6197"/>
    <w:rsid w:val="00251C6C"/>
    <w:rsid w:val="00281FBD"/>
    <w:rsid w:val="00310D43"/>
    <w:rsid w:val="00336EC3"/>
    <w:rsid w:val="003638A1"/>
    <w:rsid w:val="00370074"/>
    <w:rsid w:val="00382F48"/>
    <w:rsid w:val="003A0129"/>
    <w:rsid w:val="003B33BB"/>
    <w:rsid w:val="00432DBE"/>
    <w:rsid w:val="00475090"/>
    <w:rsid w:val="004B3B57"/>
    <w:rsid w:val="004D545F"/>
    <w:rsid w:val="00566892"/>
    <w:rsid w:val="00594467"/>
    <w:rsid w:val="005C3ABC"/>
    <w:rsid w:val="00622FA7"/>
    <w:rsid w:val="00626F35"/>
    <w:rsid w:val="00627BEA"/>
    <w:rsid w:val="006342DB"/>
    <w:rsid w:val="00656C9B"/>
    <w:rsid w:val="00663358"/>
    <w:rsid w:val="006A308A"/>
    <w:rsid w:val="006B50E3"/>
    <w:rsid w:val="00731C37"/>
    <w:rsid w:val="00757C73"/>
    <w:rsid w:val="00762D7E"/>
    <w:rsid w:val="007C6496"/>
    <w:rsid w:val="007E7D2F"/>
    <w:rsid w:val="00812151"/>
    <w:rsid w:val="008121C9"/>
    <w:rsid w:val="00880911"/>
    <w:rsid w:val="00881AC9"/>
    <w:rsid w:val="008A4E9D"/>
    <w:rsid w:val="008C6ECC"/>
    <w:rsid w:val="008E0B22"/>
    <w:rsid w:val="008F0E37"/>
    <w:rsid w:val="009647BD"/>
    <w:rsid w:val="00976F1B"/>
    <w:rsid w:val="009D42FC"/>
    <w:rsid w:val="009D55BD"/>
    <w:rsid w:val="00A32882"/>
    <w:rsid w:val="00A41433"/>
    <w:rsid w:val="00A623E1"/>
    <w:rsid w:val="00A86444"/>
    <w:rsid w:val="00AA2067"/>
    <w:rsid w:val="00AC0F44"/>
    <w:rsid w:val="00B12109"/>
    <w:rsid w:val="00B5707E"/>
    <w:rsid w:val="00B67DC0"/>
    <w:rsid w:val="00B75C65"/>
    <w:rsid w:val="00B84280"/>
    <w:rsid w:val="00B85085"/>
    <w:rsid w:val="00B963A1"/>
    <w:rsid w:val="00BA5939"/>
    <w:rsid w:val="00BD709C"/>
    <w:rsid w:val="00BE34C6"/>
    <w:rsid w:val="00C12EEE"/>
    <w:rsid w:val="00C23CBC"/>
    <w:rsid w:val="00C41A9A"/>
    <w:rsid w:val="00D0647D"/>
    <w:rsid w:val="00D11C6E"/>
    <w:rsid w:val="00D565AE"/>
    <w:rsid w:val="00D62340"/>
    <w:rsid w:val="00D865D7"/>
    <w:rsid w:val="00D96884"/>
    <w:rsid w:val="00DB74EC"/>
    <w:rsid w:val="00DC05F9"/>
    <w:rsid w:val="00E1490F"/>
    <w:rsid w:val="00EC69A4"/>
    <w:rsid w:val="00F146D5"/>
    <w:rsid w:val="00F61DB3"/>
    <w:rsid w:val="00F90E11"/>
    <w:rsid w:val="00FD4141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9668"/>
  <w15:docId w15:val="{A3936F6C-5154-413F-B908-247D1B23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950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50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0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0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po-dot.illinois.gov/content/dam/soi/en/web/cpo-dot/documents/fy24-reports/FY24%20Small%20Business%20Contracts%20Report-Harmon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6D5A10B2F1D3344186B151620F486DC6" ma:contentTypeVersion="0" ma:contentTypeDescription="Fill out this form." ma:contentTypeScope="" ma:versionID="2bf4125a206d3d4e5b83c1cf87c9192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66493D6-D21E-4476-8990-0304527CA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C1544-CCA5-44CC-B0C8-908D4CE5B8E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B8E825F-1E94-4E15-B90C-794D6B2F3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5AEF1-BEB1-423C-ABC7-E4B92FE3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Floyd, Melissa D.</cp:lastModifiedBy>
  <cp:revision>6</cp:revision>
  <cp:lastPrinted>2024-10-29T14:09:00Z</cp:lastPrinted>
  <dcterms:created xsi:type="dcterms:W3CDTF">2024-10-29T15:59:00Z</dcterms:created>
  <dcterms:modified xsi:type="dcterms:W3CDTF">2024-10-30T15:38:00Z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0x010101006D5A10B2F1D3344186B151620F486DC6</vt:lpwstr>
  </property>
</Properties>
</file>