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08"/>
      </w:tblGrid>
      <w:tr w:rsidR="00762D7E" w14:paraId="2C25092D" w14:textId="77777777" w:rsidTr="00432DBE">
        <w:tc>
          <w:tcPr>
            <w:tcW w:w="9108" w:type="dxa"/>
          </w:tcPr>
          <w:p w14:paraId="5E638CFF" w14:textId="77777777" w:rsidR="00762D7E" w:rsidRDefault="00762D7E" w:rsidP="005B709C">
            <w:pPr>
              <w:pStyle w:val="NoSpacing"/>
              <w:jc w:val="both"/>
            </w:pPr>
            <w:r w:rsidRPr="00762D7E">
              <w:rPr>
                <w:noProof/>
              </w:rPr>
              <w:drawing>
                <wp:anchor distT="0" distB="0" distL="114300" distR="114300" simplePos="0" relativeHeight="251659264" behindDoc="0" locked="0" layoutInCell="1" allowOverlap="1" wp14:anchorId="483039B8" wp14:editId="7D23267A">
                  <wp:simplePos x="0" y="0"/>
                  <wp:positionH relativeFrom="margin">
                    <wp:align>left</wp:align>
                  </wp:positionH>
                  <wp:positionV relativeFrom="paragraph">
                    <wp:posOffset>-681272</wp:posOffset>
                  </wp:positionV>
                  <wp:extent cx="6055747" cy="644055"/>
                  <wp:effectExtent l="19050" t="0" r="0" b="0"/>
                  <wp:wrapSquare wrapText="bothSides"/>
                  <wp:docPr id="1" name="Picture 2" descr="CPO_MB_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O_MB_header.tif"/>
                          <pic:cNvPicPr/>
                        </pic:nvPicPr>
                        <pic:blipFill>
                          <a:blip r:embed="rId11" cstate="print"/>
                          <a:stretch>
                            <a:fillRect/>
                          </a:stretch>
                        </pic:blipFill>
                        <pic:spPr>
                          <a:xfrm>
                            <a:off x="0" y="0"/>
                            <a:ext cx="6059170" cy="642620"/>
                          </a:xfrm>
                          <a:prstGeom prst="rect">
                            <a:avLst/>
                          </a:prstGeom>
                          <a:noFill/>
                          <a:ln>
                            <a:noFill/>
                          </a:ln>
                        </pic:spPr>
                      </pic:pic>
                    </a:graphicData>
                  </a:graphic>
                </wp:anchor>
              </w:drawing>
            </w:r>
          </w:p>
        </w:tc>
      </w:tr>
    </w:tbl>
    <w:p w14:paraId="230679D0" w14:textId="77777777" w:rsidR="00511FED" w:rsidRDefault="00511FED" w:rsidP="00511FED">
      <w:pPr>
        <w:spacing w:after="0" w:line="240" w:lineRule="auto"/>
        <w:jc w:val="center"/>
        <w:rPr>
          <w:rFonts w:ascii="Calibri" w:eastAsiaTheme="minorEastAsia" w:hAnsi="Calibri"/>
          <w:b/>
          <w:bCs/>
          <w:sz w:val="28"/>
          <w:szCs w:val="28"/>
        </w:rPr>
      </w:pPr>
      <w:bookmarkStart w:id="0" w:name="_Hlk181083900"/>
      <w:r w:rsidRPr="00511FED">
        <w:rPr>
          <w:rFonts w:ascii="Calibri" w:eastAsiaTheme="minorEastAsia" w:hAnsi="Calibri"/>
          <w:b/>
          <w:bCs/>
          <w:sz w:val="28"/>
          <w:szCs w:val="28"/>
        </w:rPr>
        <w:t>Executive Summary</w:t>
      </w:r>
    </w:p>
    <w:p w14:paraId="4A7BDE01" w14:textId="77777777" w:rsidR="00511FED" w:rsidRPr="00511FED" w:rsidRDefault="00511FED" w:rsidP="00511FED">
      <w:pPr>
        <w:spacing w:after="0" w:line="240" w:lineRule="auto"/>
        <w:jc w:val="center"/>
        <w:rPr>
          <w:rFonts w:ascii="Calibri" w:eastAsiaTheme="minorEastAsia" w:hAnsi="Calibri"/>
          <w:b/>
          <w:bCs/>
          <w:sz w:val="28"/>
          <w:szCs w:val="28"/>
        </w:rPr>
      </w:pPr>
    </w:p>
    <w:p w14:paraId="0D00A41C" w14:textId="77777777" w:rsidR="00511FED" w:rsidRPr="00511FED" w:rsidRDefault="00511FED" w:rsidP="00511FED">
      <w:pPr>
        <w:spacing w:after="0" w:line="240" w:lineRule="auto"/>
        <w:jc w:val="center"/>
        <w:rPr>
          <w:rFonts w:ascii="Calibri" w:eastAsiaTheme="minorEastAsia" w:hAnsi="Calibri"/>
          <w:b/>
          <w:bCs/>
          <w:sz w:val="28"/>
          <w:szCs w:val="28"/>
        </w:rPr>
      </w:pPr>
      <w:r w:rsidRPr="00511FED">
        <w:rPr>
          <w:rFonts w:ascii="Calibri" w:eastAsiaTheme="minorEastAsia" w:hAnsi="Calibri"/>
          <w:b/>
          <w:bCs/>
          <w:sz w:val="28"/>
          <w:szCs w:val="28"/>
        </w:rPr>
        <w:t>FY 2024 Annual Small Business Report</w:t>
      </w:r>
    </w:p>
    <w:p w14:paraId="4B0D96BE" w14:textId="6ACCC6B1" w:rsidR="00BC4D65" w:rsidRPr="0020278F" w:rsidRDefault="00BC4D65" w:rsidP="005B709C">
      <w:pPr>
        <w:spacing w:after="0" w:line="240" w:lineRule="auto"/>
        <w:ind w:left="2880" w:firstLine="720"/>
        <w:jc w:val="both"/>
        <w:rPr>
          <w:rFonts w:ascii="Calibri" w:eastAsiaTheme="minorEastAsia" w:hAnsi="Calibri"/>
          <w:b/>
          <w:bCs/>
          <w:sz w:val="28"/>
          <w:szCs w:val="28"/>
        </w:rPr>
      </w:pPr>
    </w:p>
    <w:p w14:paraId="635CDC79" w14:textId="77777777" w:rsidR="00BC4D65" w:rsidRPr="00BC4D65" w:rsidRDefault="00BC4D65" w:rsidP="005B709C">
      <w:pPr>
        <w:spacing w:after="0" w:line="240" w:lineRule="auto"/>
        <w:jc w:val="both"/>
        <w:rPr>
          <w:rFonts w:ascii="Calibri" w:eastAsiaTheme="minorEastAsia" w:hAnsi="Calibri"/>
          <w:b/>
          <w:bCs/>
          <w:sz w:val="28"/>
          <w:szCs w:val="28"/>
        </w:rPr>
      </w:pPr>
    </w:p>
    <w:p w14:paraId="5CA62451" w14:textId="7BFF61BC" w:rsidR="00BC4D65" w:rsidRPr="00BC4D65" w:rsidRDefault="00BC4D65" w:rsidP="005B709C">
      <w:pPr>
        <w:spacing w:after="0" w:line="240" w:lineRule="auto"/>
        <w:jc w:val="both"/>
        <w:rPr>
          <w:rFonts w:ascii="Calibri" w:eastAsiaTheme="minorEastAsia" w:hAnsi="Calibri"/>
          <w:sz w:val="22"/>
        </w:rPr>
      </w:pPr>
      <w:r w:rsidRPr="00BC4D65">
        <w:rPr>
          <w:rFonts w:ascii="Calibri" w:eastAsiaTheme="minorEastAsia" w:hAnsi="Calibri"/>
          <w:sz w:val="22"/>
        </w:rPr>
        <w:t>Each chief procurement officer has authority to designate as small business set-asides a fair proportion of construction, supply, and service contracts for award to small businesses in Illinois. Advertisements for bids or offers for those contracts shall specify designation as small business set-asides. In awarding the contracts, only bids or offers from qualified small businesses shall be consider</w:t>
      </w:r>
      <w:r w:rsidR="000350D2">
        <w:rPr>
          <w:rFonts w:ascii="Calibri" w:eastAsiaTheme="minorEastAsia" w:hAnsi="Calibri"/>
          <w:sz w:val="22"/>
        </w:rPr>
        <w:t>ed</w:t>
      </w:r>
      <w:r w:rsidRPr="00BC4D65">
        <w:rPr>
          <w:rFonts w:ascii="Calibri" w:eastAsiaTheme="minorEastAsia" w:hAnsi="Calibri"/>
          <w:sz w:val="22"/>
        </w:rPr>
        <w:t>.</w:t>
      </w:r>
    </w:p>
    <w:p w14:paraId="6CCC2019" w14:textId="77777777" w:rsidR="00BC4D65" w:rsidRPr="00BC4D65" w:rsidRDefault="00BC4D65" w:rsidP="005B709C">
      <w:pPr>
        <w:spacing w:after="0" w:line="240" w:lineRule="auto"/>
        <w:jc w:val="both"/>
        <w:rPr>
          <w:rFonts w:ascii="Calibri" w:eastAsiaTheme="minorEastAsia" w:hAnsi="Calibri"/>
          <w:sz w:val="22"/>
        </w:rPr>
      </w:pPr>
    </w:p>
    <w:p w14:paraId="6DF855C4" w14:textId="6B932D8B" w:rsidR="00BC4D65" w:rsidRPr="00BC4D65" w:rsidRDefault="00BC4D65" w:rsidP="005B709C">
      <w:pPr>
        <w:spacing w:after="0" w:line="240" w:lineRule="auto"/>
        <w:jc w:val="both"/>
        <w:rPr>
          <w:rFonts w:ascii="Calibri" w:eastAsiaTheme="minorEastAsia" w:hAnsi="Calibri"/>
          <w:sz w:val="22"/>
        </w:rPr>
      </w:pPr>
      <w:r w:rsidRPr="00BC4D65">
        <w:rPr>
          <w:rFonts w:ascii="Calibri" w:eastAsiaTheme="minorEastAsia" w:hAnsi="Calibri"/>
          <w:sz w:val="22"/>
        </w:rPr>
        <w:t>“Small Business” means a business that is independently owned and operated and that is not dominant in its field of operation. The chief procurement officer shall establish a detailed definition by rule, using in addition to the foregoing criteria</w:t>
      </w:r>
      <w:r w:rsidR="000350D2">
        <w:rPr>
          <w:rFonts w:ascii="Calibri" w:eastAsiaTheme="minorEastAsia" w:hAnsi="Calibri"/>
          <w:sz w:val="22"/>
        </w:rPr>
        <w:t>,</w:t>
      </w:r>
      <w:r w:rsidRPr="00BC4D65">
        <w:rPr>
          <w:rFonts w:ascii="Calibri" w:eastAsiaTheme="minorEastAsia" w:hAnsi="Calibri"/>
          <w:sz w:val="22"/>
        </w:rPr>
        <w:t xml:space="preserve"> other criteria, including the number of employees and the dollar volume of business. When computing the size status of a potential contractor, annual sales, and receipts of the potential contractor and </w:t>
      </w:r>
      <w:r w:rsidR="000350D2" w:rsidRPr="00BC4D65">
        <w:rPr>
          <w:rFonts w:ascii="Calibri" w:eastAsiaTheme="minorEastAsia" w:hAnsi="Calibri"/>
          <w:sz w:val="22"/>
        </w:rPr>
        <w:t>all</w:t>
      </w:r>
      <w:r w:rsidRPr="00BC4D65">
        <w:rPr>
          <w:rFonts w:ascii="Calibri" w:eastAsiaTheme="minorEastAsia" w:hAnsi="Calibri"/>
          <w:sz w:val="22"/>
        </w:rPr>
        <w:t xml:space="preserve"> its affiliates shall be included. The maximum number of employees and the maximum dollar volume that a small business may have under the rules promulgated by the chief procurement officer may vary from industry to industry to the extent necessary to reflect differing characteristics of those industries, subject to the following limitations:</w:t>
      </w:r>
    </w:p>
    <w:p w14:paraId="6AFF359D" w14:textId="77777777" w:rsidR="00BC4D65" w:rsidRPr="00BC4D65" w:rsidRDefault="00BC4D65" w:rsidP="005B709C">
      <w:pPr>
        <w:numPr>
          <w:ilvl w:val="0"/>
          <w:numId w:val="1"/>
        </w:numPr>
        <w:spacing w:after="0" w:line="240" w:lineRule="auto"/>
        <w:contextualSpacing/>
        <w:jc w:val="both"/>
        <w:rPr>
          <w:rFonts w:ascii="Calibri" w:eastAsiaTheme="minorEastAsia" w:hAnsi="Calibri"/>
          <w:sz w:val="22"/>
        </w:rPr>
      </w:pPr>
      <w:r w:rsidRPr="00BC4D65">
        <w:rPr>
          <w:rFonts w:ascii="Calibri" w:eastAsiaTheme="minorEastAsia" w:hAnsi="Calibri"/>
          <w:sz w:val="22"/>
        </w:rPr>
        <w:t>No wholesale business is a small business if its annual sales for its most recently completed fiscal year exceed $13,000,000.</w:t>
      </w:r>
    </w:p>
    <w:p w14:paraId="5BB8BA26" w14:textId="77777777" w:rsidR="00BC4D65" w:rsidRPr="00BC4D65" w:rsidRDefault="00BC4D65" w:rsidP="005B709C">
      <w:pPr>
        <w:numPr>
          <w:ilvl w:val="0"/>
          <w:numId w:val="1"/>
        </w:numPr>
        <w:spacing w:after="0" w:line="240" w:lineRule="auto"/>
        <w:contextualSpacing/>
        <w:jc w:val="both"/>
        <w:rPr>
          <w:rFonts w:ascii="Calibri" w:eastAsiaTheme="minorEastAsia" w:hAnsi="Calibri"/>
          <w:sz w:val="22"/>
        </w:rPr>
      </w:pPr>
      <w:r w:rsidRPr="00BC4D65">
        <w:rPr>
          <w:rFonts w:ascii="Calibri" w:eastAsiaTheme="minorEastAsia" w:hAnsi="Calibri"/>
          <w:sz w:val="22"/>
        </w:rPr>
        <w:t>No retail business or business selling services is a small business if its annual sales and receipts exceed $8,000,000.</w:t>
      </w:r>
    </w:p>
    <w:p w14:paraId="58CA3638" w14:textId="77777777" w:rsidR="00BC4D65" w:rsidRDefault="00BC4D65" w:rsidP="005B709C">
      <w:pPr>
        <w:numPr>
          <w:ilvl w:val="0"/>
          <w:numId w:val="1"/>
        </w:numPr>
        <w:spacing w:after="0" w:line="240" w:lineRule="auto"/>
        <w:contextualSpacing/>
        <w:jc w:val="both"/>
        <w:rPr>
          <w:rFonts w:ascii="Calibri" w:eastAsiaTheme="minorEastAsia" w:hAnsi="Calibri"/>
          <w:sz w:val="22"/>
        </w:rPr>
      </w:pPr>
      <w:r w:rsidRPr="00BC4D65">
        <w:rPr>
          <w:rFonts w:ascii="Calibri" w:eastAsiaTheme="minorEastAsia" w:hAnsi="Calibri"/>
          <w:sz w:val="22"/>
        </w:rPr>
        <w:t>No manufacturing business is a small business if it employs more than 250 persons.</w:t>
      </w:r>
    </w:p>
    <w:p w14:paraId="7DA83DF7" w14:textId="2EC410CE" w:rsidR="005B709C" w:rsidRPr="00BC4D65" w:rsidRDefault="005B709C" w:rsidP="005B709C">
      <w:pPr>
        <w:numPr>
          <w:ilvl w:val="0"/>
          <w:numId w:val="1"/>
        </w:numPr>
        <w:spacing w:after="0" w:line="240" w:lineRule="auto"/>
        <w:contextualSpacing/>
        <w:jc w:val="both"/>
        <w:rPr>
          <w:rFonts w:ascii="Calibri" w:eastAsiaTheme="minorEastAsia" w:hAnsi="Calibri"/>
          <w:sz w:val="22"/>
        </w:rPr>
      </w:pPr>
      <w:r>
        <w:rPr>
          <w:rFonts w:ascii="Calibri" w:eastAsiaTheme="minorEastAsia" w:hAnsi="Calibri"/>
          <w:sz w:val="22"/>
        </w:rPr>
        <w:t>No construction business is a small business if its annual sales and receipts exceed $14,000,000.</w:t>
      </w:r>
    </w:p>
    <w:p w14:paraId="67F00BA3" w14:textId="77777777" w:rsidR="0074777B" w:rsidRDefault="0074777B" w:rsidP="005B709C">
      <w:pPr>
        <w:spacing w:after="0" w:line="240" w:lineRule="auto"/>
        <w:jc w:val="both"/>
        <w:rPr>
          <w:rFonts w:ascii="Calibri" w:eastAsiaTheme="minorEastAsia" w:hAnsi="Calibri"/>
          <w:sz w:val="22"/>
        </w:rPr>
      </w:pPr>
    </w:p>
    <w:bookmarkEnd w:id="0"/>
    <w:p w14:paraId="6D45D575" w14:textId="06C1A481" w:rsidR="00BC4D65" w:rsidRPr="00BC4D65" w:rsidRDefault="0074777B" w:rsidP="005B709C">
      <w:pPr>
        <w:spacing w:after="0" w:line="240" w:lineRule="auto"/>
        <w:jc w:val="both"/>
        <w:rPr>
          <w:rFonts w:ascii="Calibri" w:eastAsiaTheme="minorEastAsia" w:hAnsi="Calibri"/>
          <w:b/>
          <w:bCs/>
          <w:sz w:val="22"/>
        </w:rPr>
      </w:pPr>
      <w:r>
        <w:rPr>
          <w:rFonts w:ascii="Calibri" w:eastAsiaTheme="minorEastAsia" w:hAnsi="Calibri"/>
          <w:b/>
          <w:bCs/>
          <w:sz w:val="22"/>
        </w:rPr>
        <w:t>See the following Press Release for additional information and the link to the 2024 Annual Small Business Report.</w:t>
      </w:r>
    </w:p>
    <w:p w14:paraId="2B1AE2AA" w14:textId="77777777" w:rsidR="00BC4D65" w:rsidRPr="00BC4D65" w:rsidRDefault="00BC4D65" w:rsidP="005B709C">
      <w:pPr>
        <w:spacing w:after="0" w:line="240" w:lineRule="auto"/>
        <w:jc w:val="both"/>
        <w:rPr>
          <w:rFonts w:ascii="Calibri" w:eastAsiaTheme="minorEastAsia" w:hAnsi="Calibri"/>
          <w:b/>
          <w:bCs/>
          <w:sz w:val="22"/>
        </w:rPr>
      </w:pPr>
    </w:p>
    <w:p w14:paraId="417662A8" w14:textId="77777777" w:rsidR="00BC4D65" w:rsidRPr="00BC4D65" w:rsidRDefault="00BC4D65" w:rsidP="005B709C">
      <w:pPr>
        <w:spacing w:after="0" w:line="240" w:lineRule="auto"/>
        <w:jc w:val="both"/>
        <w:rPr>
          <w:rFonts w:ascii="Calibri" w:eastAsiaTheme="minorEastAsia" w:hAnsi="Calibri"/>
          <w:b/>
          <w:bCs/>
          <w:sz w:val="22"/>
        </w:rPr>
      </w:pPr>
    </w:p>
    <w:p w14:paraId="75B3AB22" w14:textId="77777777" w:rsidR="00BC4D65" w:rsidRPr="00BC4D65" w:rsidRDefault="00BC4D65" w:rsidP="005B709C">
      <w:pPr>
        <w:spacing w:after="0" w:line="240" w:lineRule="auto"/>
        <w:jc w:val="both"/>
        <w:rPr>
          <w:rFonts w:ascii="Calibri" w:eastAsiaTheme="minorEastAsia" w:hAnsi="Calibri"/>
          <w:b/>
          <w:bCs/>
          <w:sz w:val="22"/>
        </w:rPr>
      </w:pPr>
    </w:p>
    <w:p w14:paraId="08B92AF8" w14:textId="77777777" w:rsidR="00BC4D65" w:rsidRPr="00BC4D65" w:rsidRDefault="00BC4D65" w:rsidP="005B709C">
      <w:pPr>
        <w:spacing w:after="0" w:line="240" w:lineRule="auto"/>
        <w:jc w:val="both"/>
        <w:rPr>
          <w:rFonts w:ascii="Calibri" w:eastAsiaTheme="minorEastAsia" w:hAnsi="Calibri"/>
          <w:b/>
          <w:bCs/>
          <w:sz w:val="22"/>
        </w:rPr>
      </w:pPr>
    </w:p>
    <w:p w14:paraId="42B22A0F" w14:textId="77777777" w:rsidR="00BC4D65" w:rsidRPr="00BC4D65" w:rsidRDefault="00BC4D65" w:rsidP="005B709C">
      <w:pPr>
        <w:spacing w:after="0" w:line="240" w:lineRule="auto"/>
        <w:jc w:val="both"/>
        <w:rPr>
          <w:rFonts w:ascii="Calibri" w:eastAsiaTheme="minorEastAsia" w:hAnsi="Calibri"/>
          <w:b/>
          <w:bCs/>
          <w:sz w:val="22"/>
        </w:rPr>
      </w:pPr>
    </w:p>
    <w:p w14:paraId="5F4164B5" w14:textId="77777777" w:rsidR="005B709C" w:rsidRDefault="00BC4D65" w:rsidP="00BC4D65">
      <w:pPr>
        <w:spacing w:after="0" w:line="240" w:lineRule="auto"/>
        <w:rPr>
          <w:rFonts w:ascii="Calibri" w:eastAsiaTheme="minorEastAsia" w:hAnsi="Calibri"/>
          <w:b/>
          <w:bCs/>
          <w:sz w:val="22"/>
        </w:rPr>
      </w:pPr>
      <w:r w:rsidRPr="00BC4D65">
        <w:rPr>
          <w:rFonts w:ascii="Calibri" w:eastAsiaTheme="minorEastAsia" w:hAnsi="Calibri"/>
          <w:b/>
          <w:bCs/>
          <w:sz w:val="22"/>
        </w:rPr>
        <w:t xml:space="preserve">                                                                                                </w:t>
      </w:r>
      <w:bookmarkStart w:id="1" w:name="_Hlk181083953"/>
    </w:p>
    <w:p w14:paraId="179371D2" w14:textId="77777777" w:rsidR="005B709C" w:rsidRDefault="005B709C" w:rsidP="00BC4D65">
      <w:pPr>
        <w:spacing w:after="0" w:line="240" w:lineRule="auto"/>
        <w:rPr>
          <w:rFonts w:ascii="Calibri" w:eastAsiaTheme="minorEastAsia" w:hAnsi="Calibri"/>
          <w:b/>
          <w:bCs/>
          <w:sz w:val="22"/>
        </w:rPr>
      </w:pPr>
    </w:p>
    <w:p w14:paraId="36C831DB" w14:textId="77777777" w:rsidR="005B709C" w:rsidRDefault="005B709C" w:rsidP="00BC4D65">
      <w:pPr>
        <w:spacing w:after="0" w:line="240" w:lineRule="auto"/>
        <w:rPr>
          <w:rFonts w:ascii="Calibri" w:eastAsiaTheme="minorEastAsia" w:hAnsi="Calibri"/>
          <w:b/>
          <w:bCs/>
          <w:sz w:val="22"/>
        </w:rPr>
      </w:pPr>
    </w:p>
    <w:p w14:paraId="1FAD3B86" w14:textId="77777777" w:rsidR="005B709C" w:rsidRDefault="005B709C" w:rsidP="00BC4D65">
      <w:pPr>
        <w:spacing w:after="0" w:line="240" w:lineRule="auto"/>
        <w:rPr>
          <w:rFonts w:ascii="Calibri" w:eastAsiaTheme="minorEastAsia" w:hAnsi="Calibri"/>
          <w:b/>
          <w:bCs/>
          <w:sz w:val="22"/>
        </w:rPr>
      </w:pPr>
    </w:p>
    <w:p w14:paraId="1DECF7CE" w14:textId="77777777" w:rsidR="005B709C" w:rsidRDefault="005B709C" w:rsidP="00BC4D65">
      <w:pPr>
        <w:spacing w:after="0" w:line="240" w:lineRule="auto"/>
        <w:rPr>
          <w:rFonts w:ascii="Calibri" w:eastAsiaTheme="minorEastAsia" w:hAnsi="Calibri"/>
          <w:b/>
          <w:bCs/>
          <w:sz w:val="22"/>
        </w:rPr>
      </w:pPr>
    </w:p>
    <w:p w14:paraId="31098DCC" w14:textId="77777777" w:rsidR="005B709C" w:rsidRDefault="005B709C" w:rsidP="00BC4D65">
      <w:pPr>
        <w:spacing w:after="0" w:line="240" w:lineRule="auto"/>
        <w:rPr>
          <w:rFonts w:ascii="Calibri" w:eastAsiaTheme="minorEastAsia" w:hAnsi="Calibri"/>
          <w:b/>
          <w:bCs/>
          <w:sz w:val="22"/>
        </w:rPr>
      </w:pPr>
    </w:p>
    <w:p w14:paraId="2BA89901" w14:textId="77777777" w:rsidR="005B709C" w:rsidRDefault="005B709C" w:rsidP="00BC4D65">
      <w:pPr>
        <w:spacing w:after="0" w:line="240" w:lineRule="auto"/>
        <w:rPr>
          <w:rFonts w:ascii="Calibri" w:eastAsiaTheme="minorEastAsia" w:hAnsi="Calibri"/>
          <w:b/>
          <w:bCs/>
          <w:sz w:val="22"/>
        </w:rPr>
      </w:pPr>
    </w:p>
    <w:p w14:paraId="414E5E27" w14:textId="77777777" w:rsidR="005B709C" w:rsidRDefault="005B709C" w:rsidP="00BC4D65">
      <w:pPr>
        <w:spacing w:after="0" w:line="240" w:lineRule="auto"/>
        <w:rPr>
          <w:rFonts w:ascii="Calibri" w:eastAsiaTheme="minorEastAsia" w:hAnsi="Calibri"/>
          <w:b/>
          <w:bCs/>
          <w:sz w:val="22"/>
        </w:rPr>
      </w:pPr>
    </w:p>
    <w:p w14:paraId="7B8D9242" w14:textId="77777777" w:rsidR="005B709C" w:rsidRDefault="005B709C" w:rsidP="00BC4D65">
      <w:pPr>
        <w:spacing w:after="0" w:line="240" w:lineRule="auto"/>
        <w:rPr>
          <w:rFonts w:ascii="Calibri" w:eastAsiaTheme="minorEastAsia" w:hAnsi="Calibri"/>
          <w:b/>
          <w:bCs/>
          <w:sz w:val="22"/>
        </w:rPr>
      </w:pPr>
    </w:p>
    <w:p w14:paraId="4A9EC9F2" w14:textId="77777777" w:rsidR="005B709C" w:rsidRDefault="005B709C" w:rsidP="00BC4D65">
      <w:pPr>
        <w:spacing w:after="0" w:line="240" w:lineRule="auto"/>
        <w:rPr>
          <w:rFonts w:ascii="Calibri" w:eastAsiaTheme="minorEastAsia" w:hAnsi="Calibri"/>
          <w:b/>
          <w:bCs/>
          <w:sz w:val="22"/>
        </w:rPr>
      </w:pPr>
    </w:p>
    <w:p w14:paraId="0C6ED9A0" w14:textId="77777777" w:rsidR="005B709C" w:rsidRDefault="005B709C" w:rsidP="00BC4D65">
      <w:pPr>
        <w:spacing w:after="0" w:line="240" w:lineRule="auto"/>
        <w:rPr>
          <w:rFonts w:ascii="Calibri" w:eastAsiaTheme="minorEastAsia" w:hAnsi="Calibri"/>
          <w:b/>
          <w:bCs/>
          <w:sz w:val="22"/>
        </w:rPr>
      </w:pPr>
    </w:p>
    <w:p w14:paraId="707CFC6A" w14:textId="45A411B0" w:rsidR="005B709C" w:rsidRPr="005B709C" w:rsidRDefault="00BC4D65" w:rsidP="00511FED">
      <w:pPr>
        <w:spacing w:after="0" w:line="240" w:lineRule="auto"/>
        <w:ind w:left="4320"/>
        <w:rPr>
          <w:rFonts w:ascii="Calibri" w:eastAsiaTheme="minorEastAsia" w:hAnsi="Calibri"/>
          <w:sz w:val="22"/>
        </w:rPr>
      </w:pPr>
      <w:r w:rsidRPr="00BC4D65">
        <w:rPr>
          <w:rFonts w:ascii="Calibri" w:eastAsiaTheme="minorEastAsia" w:hAnsi="Calibri"/>
          <w:b/>
          <w:bCs/>
          <w:sz w:val="22"/>
        </w:rPr>
        <w:t>Bill Grunloh – Chief Procurement Officer - IDOT</w:t>
      </w:r>
      <w:r w:rsidRPr="00BC4D65">
        <w:rPr>
          <w:rFonts w:ascii="Calibri" w:eastAsiaTheme="minorEastAsia" w:hAnsi="Calibri"/>
          <w:sz w:val="22"/>
        </w:rPr>
        <w:t xml:space="preserve"> </w:t>
      </w:r>
      <w:bookmarkEnd w:id="1"/>
    </w:p>
    <w:sectPr w:rsidR="005B709C" w:rsidRPr="005B709C" w:rsidSect="00F90E11">
      <w:footerReference w:type="default" r:id="rId12"/>
      <w:pgSz w:w="12240" w:h="15840" w:code="1"/>
      <w:pgMar w:top="720" w:right="1800" w:bottom="720" w:left="1267" w:header="432"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AB35" w14:textId="77777777" w:rsidR="00B7234E" w:rsidRDefault="00B7234E" w:rsidP="000233F1">
      <w:pPr>
        <w:spacing w:after="0" w:line="240" w:lineRule="auto"/>
      </w:pPr>
      <w:r>
        <w:separator/>
      </w:r>
    </w:p>
  </w:endnote>
  <w:endnote w:type="continuationSeparator" w:id="0">
    <w:p w14:paraId="58B497F5" w14:textId="77777777" w:rsidR="00B7234E" w:rsidRDefault="00B7234E" w:rsidP="0002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914A" w14:textId="77777777" w:rsidR="00594467" w:rsidRDefault="00511FED" w:rsidP="00195091">
    <w:pPr>
      <w:pStyle w:val="Footer"/>
      <w:tabs>
        <w:tab w:val="clear" w:pos="4680"/>
        <w:tab w:val="clear" w:pos="9360"/>
        <w:tab w:val="left" w:pos="2775"/>
      </w:tabs>
    </w:pPr>
    <w:r>
      <w:pict w14:anchorId="2A579016">
        <v:rect id="_x0000_i1025" style="width:459pt;height:1pt" o:hralign="center" o:hrstd="t" o:hrnoshade="t" o:hr="t" fillcolor="black [3213]" stroked="f"/>
      </w:pict>
    </w:r>
  </w:p>
  <w:p w14:paraId="22C994CF" w14:textId="77777777" w:rsidR="00594467" w:rsidRDefault="008121C9" w:rsidP="00F61DB3">
    <w:pPr>
      <w:pStyle w:val="Footer"/>
      <w:tabs>
        <w:tab w:val="clear" w:pos="4680"/>
        <w:tab w:val="clear" w:pos="9360"/>
        <w:tab w:val="left" w:pos="2775"/>
      </w:tabs>
      <w:jc w:val="center"/>
    </w:pPr>
    <w:r>
      <w:rPr>
        <w:noProof/>
      </w:rPr>
      <w:drawing>
        <wp:inline distT="0" distB="0" distL="0" distR="0" wp14:anchorId="7C3F64D2" wp14:editId="270BBB69">
          <wp:extent cx="4465320" cy="31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4465320" cy="312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74DA" w14:textId="77777777" w:rsidR="00B7234E" w:rsidRDefault="00B7234E" w:rsidP="000233F1">
      <w:pPr>
        <w:spacing w:after="0" w:line="240" w:lineRule="auto"/>
      </w:pPr>
      <w:r>
        <w:separator/>
      </w:r>
    </w:p>
  </w:footnote>
  <w:footnote w:type="continuationSeparator" w:id="0">
    <w:p w14:paraId="2C43A7BD" w14:textId="77777777" w:rsidR="00B7234E" w:rsidRDefault="00B7234E" w:rsidP="00023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DF9"/>
    <w:multiLevelType w:val="hybridMultilevel"/>
    <w:tmpl w:val="8962DCEA"/>
    <w:lvl w:ilvl="0" w:tplc="FB9E6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84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F1"/>
    <w:rsid w:val="000233F1"/>
    <w:rsid w:val="000350D2"/>
    <w:rsid w:val="0003764C"/>
    <w:rsid w:val="000467AD"/>
    <w:rsid w:val="00082F78"/>
    <w:rsid w:val="000E6754"/>
    <w:rsid w:val="001221B8"/>
    <w:rsid w:val="001705B6"/>
    <w:rsid w:val="00195091"/>
    <w:rsid w:val="001A40F0"/>
    <w:rsid w:val="001A4BE8"/>
    <w:rsid w:val="001A4C33"/>
    <w:rsid w:val="001F6197"/>
    <w:rsid w:val="0020278F"/>
    <w:rsid w:val="00251C6C"/>
    <w:rsid w:val="00281FBD"/>
    <w:rsid w:val="00302388"/>
    <w:rsid w:val="00310D43"/>
    <w:rsid w:val="00336EC3"/>
    <w:rsid w:val="003638A1"/>
    <w:rsid w:val="00370074"/>
    <w:rsid w:val="00382F48"/>
    <w:rsid w:val="003A0129"/>
    <w:rsid w:val="00432DBE"/>
    <w:rsid w:val="00475090"/>
    <w:rsid w:val="004D545F"/>
    <w:rsid w:val="00511FED"/>
    <w:rsid w:val="00594467"/>
    <w:rsid w:val="0059744B"/>
    <w:rsid w:val="005B709C"/>
    <w:rsid w:val="005C3ABC"/>
    <w:rsid w:val="00622FA7"/>
    <w:rsid w:val="00626F35"/>
    <w:rsid w:val="006342DB"/>
    <w:rsid w:val="00656C9B"/>
    <w:rsid w:val="00663358"/>
    <w:rsid w:val="006A308A"/>
    <w:rsid w:val="006B50E3"/>
    <w:rsid w:val="00731C37"/>
    <w:rsid w:val="00731D04"/>
    <w:rsid w:val="0074777B"/>
    <w:rsid w:val="00757C73"/>
    <w:rsid w:val="00762D7E"/>
    <w:rsid w:val="007C6496"/>
    <w:rsid w:val="007E7D2F"/>
    <w:rsid w:val="007F3958"/>
    <w:rsid w:val="00812151"/>
    <w:rsid w:val="008121C9"/>
    <w:rsid w:val="00880911"/>
    <w:rsid w:val="00881AC9"/>
    <w:rsid w:val="008A4E9D"/>
    <w:rsid w:val="008C6ECC"/>
    <w:rsid w:val="008F0E37"/>
    <w:rsid w:val="009647BD"/>
    <w:rsid w:val="009D55BD"/>
    <w:rsid w:val="00A32882"/>
    <w:rsid w:val="00A41433"/>
    <w:rsid w:val="00A623E1"/>
    <w:rsid w:val="00AA2067"/>
    <w:rsid w:val="00B12109"/>
    <w:rsid w:val="00B5707E"/>
    <w:rsid w:val="00B67DC0"/>
    <w:rsid w:val="00B7234E"/>
    <w:rsid w:val="00B75C65"/>
    <w:rsid w:val="00B84280"/>
    <w:rsid w:val="00BA5939"/>
    <w:rsid w:val="00BC4D65"/>
    <w:rsid w:val="00BD709C"/>
    <w:rsid w:val="00BE34C6"/>
    <w:rsid w:val="00C12EEE"/>
    <w:rsid w:val="00C41A9A"/>
    <w:rsid w:val="00D0647D"/>
    <w:rsid w:val="00D11C6E"/>
    <w:rsid w:val="00D565AE"/>
    <w:rsid w:val="00D96884"/>
    <w:rsid w:val="00DB74EC"/>
    <w:rsid w:val="00DC05F9"/>
    <w:rsid w:val="00E24DB6"/>
    <w:rsid w:val="00EC69A4"/>
    <w:rsid w:val="00F61DB3"/>
    <w:rsid w:val="00F90E11"/>
    <w:rsid w:val="00FD4141"/>
    <w:rsid w:val="00FF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B29B"/>
  <w15:docId w15:val="{A3936F6C-5154-413F-B908-247D1B23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3F1"/>
  </w:style>
  <w:style w:type="paragraph" w:styleId="Footer">
    <w:name w:val="footer"/>
    <w:basedOn w:val="Normal"/>
    <w:link w:val="FooterChar"/>
    <w:uiPriority w:val="99"/>
    <w:unhideWhenUsed/>
    <w:rsid w:val="00023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3F1"/>
  </w:style>
  <w:style w:type="paragraph" w:styleId="BalloonText">
    <w:name w:val="Balloon Text"/>
    <w:basedOn w:val="Normal"/>
    <w:link w:val="BalloonTextChar"/>
    <w:uiPriority w:val="99"/>
    <w:semiHidden/>
    <w:unhideWhenUsed/>
    <w:rsid w:val="0002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F1"/>
    <w:rPr>
      <w:rFonts w:ascii="Tahoma" w:hAnsi="Tahoma" w:cs="Tahoma"/>
      <w:sz w:val="16"/>
      <w:szCs w:val="16"/>
    </w:rPr>
  </w:style>
  <w:style w:type="table" w:styleId="TableGrid">
    <w:name w:val="Table Grid"/>
    <w:basedOn w:val="TableNormal"/>
    <w:uiPriority w:val="59"/>
    <w:rsid w:val="00762D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95091"/>
    <w:pPr>
      <w:spacing w:after="0" w:line="240" w:lineRule="auto"/>
    </w:pPr>
  </w:style>
  <w:style w:type="paragraph" w:styleId="Revision">
    <w:name w:val="Revision"/>
    <w:hidden/>
    <w:uiPriority w:val="99"/>
    <w:semiHidden/>
    <w:rsid w:val="00035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0031">
      <w:bodyDiv w:val="1"/>
      <w:marLeft w:val="0"/>
      <w:marRight w:val="0"/>
      <w:marTop w:val="0"/>
      <w:marBottom w:val="0"/>
      <w:divBdr>
        <w:top w:val="none" w:sz="0" w:space="0" w:color="auto"/>
        <w:left w:val="none" w:sz="0" w:space="0" w:color="auto"/>
        <w:bottom w:val="none" w:sz="0" w:space="0" w:color="auto"/>
        <w:right w:val="none" w:sz="0" w:space="0" w:color="auto"/>
      </w:divBdr>
    </w:div>
    <w:div w:id="81247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6D5A10B2F1D3344186B151620F486DC6" ma:contentTypeVersion="0" ma:contentTypeDescription="Fill out this form." ma:contentTypeScope="" ma:versionID="2bf4125a206d3d4e5b83c1cf87c9192f">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5AEF1-BEB1-423C-ABC7-E4B92FE3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B8E825F-1E94-4E15-B90C-794D6B2F350F}">
  <ds:schemaRefs>
    <ds:schemaRef ds:uri="http://schemas.openxmlformats.org/officeDocument/2006/bibliography"/>
  </ds:schemaRefs>
</ds:datastoreItem>
</file>

<file path=customXml/itemProps3.xml><?xml version="1.0" encoding="utf-8"?>
<ds:datastoreItem xmlns:ds="http://schemas.openxmlformats.org/officeDocument/2006/customXml" ds:itemID="{882C1544-CCA5-44CC-B0C8-908D4CE5B8E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C66493D6-D21E-4476-8990-0304527CA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Doug's</dc:creator>
  <cp:lastModifiedBy>Floyd, Melissa D.</cp:lastModifiedBy>
  <cp:revision>2</cp:revision>
  <cp:lastPrinted>2024-10-29T14:00:00Z</cp:lastPrinted>
  <dcterms:created xsi:type="dcterms:W3CDTF">2024-10-29T16:29:00Z</dcterms:created>
  <dcterms:modified xsi:type="dcterms:W3CDTF">2024-10-29T16:29:00Z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0x010101006D5A10B2F1D3344186B151620F486DC6</vt:lpwstr>
  </property>
</Properties>
</file>